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C10C" w14:textId="4F913580" w:rsidR="006B42A7" w:rsidRDefault="006B42A7" w:rsidP="006B42A7">
      <w:pPr>
        <w:ind w:left="7200"/>
        <w:rPr>
          <w:rFonts w:ascii="Bahnschrift SemiBold SemiConden" w:hAnsi="Bahnschrift SemiBold SemiConden"/>
          <w:sz w:val="48"/>
          <w:szCs w:val="48"/>
        </w:rPr>
      </w:pPr>
      <w:r>
        <w:rPr>
          <w:rFonts w:ascii="Bahnschrift SemiBold SemiConden" w:hAnsi="Bahnschrift SemiBold SemiConden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55248730" wp14:editId="10BE5CE6">
            <wp:extent cx="1971675" cy="2061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53" cy="206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A6A4" w14:textId="29B825A5" w:rsidR="00A96014" w:rsidRPr="00A96014" w:rsidRDefault="00A96014" w:rsidP="006B42A7">
      <w:pPr>
        <w:ind w:left="5760" w:firstLine="720"/>
        <w:rPr>
          <w:rFonts w:ascii="Bahnschrift SemiBold SemiConden" w:hAnsi="Bahnschrift SemiBold SemiConden"/>
          <w:sz w:val="48"/>
          <w:szCs w:val="48"/>
        </w:rPr>
      </w:pPr>
      <w:r w:rsidRPr="00A96014">
        <w:rPr>
          <w:rFonts w:ascii="Bahnschrift SemiBold SemiConden" w:hAnsi="Bahnschrift SemiBold SemiConden"/>
          <w:sz w:val="48"/>
          <w:szCs w:val="48"/>
        </w:rPr>
        <w:t>Botulinum Toxin A Treatment</w:t>
      </w:r>
    </w:p>
    <w:p w14:paraId="56D9495E" w14:textId="45941DF9" w:rsidR="00A96014" w:rsidRPr="00A96014" w:rsidRDefault="00A96014" w:rsidP="006B42A7">
      <w:pPr>
        <w:jc w:val="center"/>
        <w:rPr>
          <w:rFonts w:ascii="Bahnschrift SemiBold SemiConden" w:hAnsi="Bahnschrift SemiBold SemiConden"/>
          <w:sz w:val="48"/>
          <w:szCs w:val="48"/>
        </w:rPr>
      </w:pPr>
      <w:r w:rsidRPr="00A96014">
        <w:rPr>
          <w:rFonts w:ascii="Bahnschrift SemiBold SemiConden" w:hAnsi="Bahnschrift SemiBold SemiConden"/>
          <w:sz w:val="48"/>
          <w:szCs w:val="48"/>
        </w:rPr>
        <w:t>Pre-Treatment Instructions</w:t>
      </w:r>
    </w:p>
    <w:p w14:paraId="1BBD3227" w14:textId="77777777" w:rsidR="00A96014" w:rsidRDefault="00A96014" w:rsidP="006B42A7"/>
    <w:p w14:paraId="5FBB78C3" w14:textId="2495A3E4" w:rsidR="00D71D30" w:rsidRDefault="00A96014" w:rsidP="006B42A7">
      <w:pPr>
        <w:jc w:val="center"/>
        <w:rPr>
          <w:rFonts w:ascii="Gadugi" w:hAnsi="Gadugi"/>
        </w:rPr>
      </w:pPr>
      <w:r w:rsidRPr="006B42A7">
        <w:rPr>
          <w:rFonts w:ascii="Gadugi" w:hAnsi="Gadugi"/>
        </w:rPr>
        <w:t>In an ideal situation it is prudent to follow some simple guidelines before treatment that can make all the difference between a fair result or great result, by reducing some possible side effects associated with the injections. We realize this is not always possible; however, minimizing these risks is always desirable.</w:t>
      </w:r>
    </w:p>
    <w:p w14:paraId="0F1A0309" w14:textId="77777777" w:rsidR="006B42A7" w:rsidRPr="006B42A7" w:rsidRDefault="006B42A7" w:rsidP="006B42A7">
      <w:pPr>
        <w:jc w:val="center"/>
        <w:rPr>
          <w:rFonts w:ascii="Gadugi" w:hAnsi="Gadugi"/>
        </w:rPr>
      </w:pPr>
    </w:p>
    <w:p w14:paraId="2C444C73" w14:textId="564468FD" w:rsidR="00A96014" w:rsidRDefault="00A96014" w:rsidP="006B42A7">
      <w:pPr>
        <w:pStyle w:val="ListParagraph"/>
        <w:numPr>
          <w:ilvl w:val="0"/>
          <w:numId w:val="1"/>
        </w:numPr>
        <w:spacing w:line="360" w:lineRule="auto"/>
        <w:rPr>
          <w:rFonts w:ascii="Gadugi" w:hAnsi="Gadugi"/>
        </w:rPr>
      </w:pPr>
      <w:r w:rsidRPr="006B42A7">
        <w:rPr>
          <w:rFonts w:ascii="Gadugi" w:hAnsi="Gadugi"/>
        </w:rPr>
        <w:t>Patient must be in good health with no active skin infections in the areas to be treated.</w:t>
      </w:r>
    </w:p>
    <w:p w14:paraId="2F041F46" w14:textId="77777777" w:rsidR="006B42A7" w:rsidRPr="006B42A7" w:rsidRDefault="006B42A7" w:rsidP="006B42A7">
      <w:pPr>
        <w:pStyle w:val="ListParagraph"/>
        <w:spacing w:line="360" w:lineRule="auto"/>
        <w:rPr>
          <w:rFonts w:ascii="Gadugi" w:hAnsi="Gadugi"/>
        </w:rPr>
      </w:pPr>
    </w:p>
    <w:p w14:paraId="59C51986" w14:textId="2DA89EF6" w:rsidR="00A96014" w:rsidRDefault="00A96014" w:rsidP="006B42A7">
      <w:pPr>
        <w:pStyle w:val="ListParagraph"/>
        <w:numPr>
          <w:ilvl w:val="0"/>
          <w:numId w:val="1"/>
        </w:numPr>
        <w:spacing w:line="360" w:lineRule="auto"/>
        <w:rPr>
          <w:rFonts w:ascii="Gadugi" w:hAnsi="Gadugi"/>
        </w:rPr>
      </w:pPr>
      <w:r w:rsidRPr="006B42A7">
        <w:rPr>
          <w:rFonts w:ascii="Gadugi" w:hAnsi="Gadugi"/>
        </w:rPr>
        <w:t>Patient should not be needle phobic</w:t>
      </w:r>
    </w:p>
    <w:p w14:paraId="58CB54B9" w14:textId="77777777" w:rsidR="006B42A7" w:rsidRPr="006B42A7" w:rsidRDefault="006B42A7" w:rsidP="006B42A7">
      <w:pPr>
        <w:pStyle w:val="ListParagraph"/>
        <w:rPr>
          <w:rFonts w:ascii="Gadugi" w:hAnsi="Gadugi"/>
        </w:rPr>
      </w:pPr>
    </w:p>
    <w:p w14:paraId="005BB214" w14:textId="77777777" w:rsidR="006B42A7" w:rsidRPr="006B42A7" w:rsidRDefault="006B42A7" w:rsidP="006B42A7">
      <w:pPr>
        <w:pStyle w:val="ListParagraph"/>
        <w:spacing w:line="360" w:lineRule="auto"/>
        <w:rPr>
          <w:rFonts w:ascii="Gadugi" w:hAnsi="Gadugi"/>
        </w:rPr>
      </w:pPr>
    </w:p>
    <w:p w14:paraId="1186F7E6" w14:textId="0C37A8A1" w:rsidR="00A96014" w:rsidRDefault="00A96014" w:rsidP="006B42A7">
      <w:pPr>
        <w:pStyle w:val="ListParagraph"/>
        <w:numPr>
          <w:ilvl w:val="0"/>
          <w:numId w:val="1"/>
        </w:numPr>
        <w:spacing w:line="360" w:lineRule="auto"/>
        <w:rPr>
          <w:rFonts w:ascii="Gadugi" w:hAnsi="Gadugi"/>
        </w:rPr>
      </w:pPr>
      <w:r w:rsidRPr="006B42A7">
        <w:rPr>
          <w:rFonts w:ascii="Gadugi" w:hAnsi="Gadugi"/>
        </w:rPr>
        <w:t>Avoid alcoholic beverages at least 24 hours prior to treatment. Alcohol may thin the blood which will increase the risk of bruising.</w:t>
      </w:r>
    </w:p>
    <w:p w14:paraId="38E2B86E" w14:textId="77777777" w:rsidR="006B42A7" w:rsidRPr="006B42A7" w:rsidRDefault="006B42A7" w:rsidP="006B42A7">
      <w:pPr>
        <w:pStyle w:val="ListParagraph"/>
        <w:spacing w:line="360" w:lineRule="auto"/>
        <w:rPr>
          <w:rFonts w:ascii="Gadugi" w:hAnsi="Gadugi"/>
        </w:rPr>
      </w:pPr>
    </w:p>
    <w:p w14:paraId="77E6EA25" w14:textId="73D4BDCD" w:rsidR="00A96014" w:rsidRDefault="00A96014" w:rsidP="006B42A7">
      <w:pPr>
        <w:pStyle w:val="ListParagraph"/>
        <w:numPr>
          <w:ilvl w:val="0"/>
          <w:numId w:val="1"/>
        </w:numPr>
        <w:spacing w:line="360" w:lineRule="auto"/>
        <w:rPr>
          <w:rFonts w:ascii="Gadugi" w:hAnsi="Gadugi"/>
        </w:rPr>
      </w:pPr>
      <w:r w:rsidRPr="006B42A7">
        <w:rPr>
          <w:rFonts w:ascii="Gadugi" w:hAnsi="Gadugi"/>
        </w:rPr>
        <w:t xml:space="preserve">Avoid anti-inflammatory/blood thinning medications ideally, for a period of two weeks before treatment. Medications and supplements such as </w:t>
      </w:r>
      <w:proofErr w:type="spellStart"/>
      <w:r w:rsidRPr="006B42A7">
        <w:rPr>
          <w:rFonts w:ascii="Gadugi" w:hAnsi="Gadugi"/>
        </w:rPr>
        <w:t>Asprin</w:t>
      </w:r>
      <w:proofErr w:type="spellEnd"/>
      <w:r w:rsidRPr="006B42A7">
        <w:rPr>
          <w:rFonts w:ascii="Gadugi" w:hAnsi="Gadugi"/>
        </w:rPr>
        <w:t>, Vitamin E, Gingko Biloba, St John’s Wart, Ibuprofen, Motrin, Advil, Aleve, Vioxx, and other NSAIDS are all blood thinning and can increase the risk of bruising/swelling after injections.</w:t>
      </w:r>
    </w:p>
    <w:p w14:paraId="62577EDC" w14:textId="77777777" w:rsidR="006B42A7" w:rsidRPr="006B42A7" w:rsidRDefault="006B42A7" w:rsidP="006B42A7">
      <w:pPr>
        <w:pStyle w:val="ListParagraph"/>
        <w:rPr>
          <w:rFonts w:ascii="Gadugi" w:hAnsi="Gadugi"/>
        </w:rPr>
      </w:pPr>
    </w:p>
    <w:p w14:paraId="24A4D3A1" w14:textId="77777777" w:rsidR="006B42A7" w:rsidRPr="006B42A7" w:rsidRDefault="006B42A7" w:rsidP="006B42A7">
      <w:pPr>
        <w:pStyle w:val="ListParagraph"/>
        <w:spacing w:line="360" w:lineRule="auto"/>
        <w:rPr>
          <w:rFonts w:ascii="Gadugi" w:hAnsi="Gadugi"/>
        </w:rPr>
      </w:pPr>
    </w:p>
    <w:p w14:paraId="77A2CCF0" w14:textId="78B50080" w:rsidR="00A96014" w:rsidRDefault="00A96014" w:rsidP="006B42A7">
      <w:pPr>
        <w:pStyle w:val="ListParagraph"/>
        <w:numPr>
          <w:ilvl w:val="0"/>
          <w:numId w:val="1"/>
        </w:numPr>
        <w:spacing w:line="360" w:lineRule="auto"/>
        <w:rPr>
          <w:rFonts w:ascii="Gadugi" w:hAnsi="Gadugi"/>
        </w:rPr>
      </w:pPr>
      <w:r w:rsidRPr="006B42A7">
        <w:rPr>
          <w:rFonts w:ascii="Gadugi" w:hAnsi="Gadugi"/>
        </w:rPr>
        <w:t xml:space="preserve">Schedule your Botox or </w:t>
      </w:r>
      <w:proofErr w:type="spellStart"/>
      <w:r w:rsidRPr="006B42A7">
        <w:rPr>
          <w:rFonts w:ascii="Gadugi" w:hAnsi="Gadugi"/>
        </w:rPr>
        <w:t>Xeomin</w:t>
      </w:r>
      <w:proofErr w:type="spellEnd"/>
      <w:r w:rsidRPr="006B42A7">
        <w:rPr>
          <w:rFonts w:ascii="Gadugi" w:hAnsi="Gadugi"/>
        </w:rPr>
        <w:t xml:space="preserve"> appointment at least 2 weeks prior to a special event which may be occurring, i.e., wedding, vacation, etc. It is not desirable to have a very special event occurring and be bruised from an injection which could have been avoided.</w:t>
      </w:r>
    </w:p>
    <w:p w14:paraId="0D66E563" w14:textId="77777777" w:rsidR="006B42A7" w:rsidRDefault="006B42A7" w:rsidP="006B42A7">
      <w:pPr>
        <w:pStyle w:val="ListParagraph"/>
        <w:spacing w:line="360" w:lineRule="auto"/>
        <w:rPr>
          <w:rFonts w:ascii="Gadugi" w:hAnsi="Gadugi"/>
        </w:rPr>
      </w:pPr>
    </w:p>
    <w:p w14:paraId="60722830" w14:textId="1E883412" w:rsidR="006B42A7" w:rsidRDefault="006B42A7" w:rsidP="006B42A7">
      <w:pPr>
        <w:pStyle w:val="ListParagraph"/>
        <w:spacing w:line="360" w:lineRule="auto"/>
        <w:rPr>
          <w:rFonts w:ascii="Gadugi" w:hAnsi="Gadugi"/>
        </w:rPr>
      </w:pPr>
      <w:r>
        <w:rPr>
          <w:rFonts w:ascii="Gadugi" w:hAnsi="Gadugi"/>
        </w:rPr>
        <w:t>_____________________________________________________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______________________</w:t>
      </w:r>
    </w:p>
    <w:p w14:paraId="00AF2001" w14:textId="5122E6BE" w:rsidR="006B42A7" w:rsidRPr="006B42A7" w:rsidRDefault="006B42A7" w:rsidP="006B42A7">
      <w:pPr>
        <w:pStyle w:val="ListParagraph"/>
        <w:spacing w:line="360" w:lineRule="auto"/>
        <w:rPr>
          <w:rFonts w:ascii="Gadugi" w:hAnsi="Gadugi"/>
        </w:rPr>
      </w:pPr>
      <w:r>
        <w:rPr>
          <w:rFonts w:ascii="Gadugi" w:hAnsi="Gadugi"/>
        </w:rPr>
        <w:t>Patient Signature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Date</w:t>
      </w:r>
    </w:p>
    <w:p w14:paraId="78D10F3A" w14:textId="77777777" w:rsidR="00A96014" w:rsidRDefault="00A96014"/>
    <w:sectPr w:rsidR="00A9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9715C"/>
    <w:multiLevelType w:val="hybridMultilevel"/>
    <w:tmpl w:val="654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14"/>
    <w:rsid w:val="005358AF"/>
    <w:rsid w:val="006B42A7"/>
    <w:rsid w:val="00756EF6"/>
    <w:rsid w:val="009E055F"/>
    <w:rsid w:val="00A53569"/>
    <w:rsid w:val="00A96014"/>
    <w:rsid w:val="00D047B6"/>
    <w:rsid w:val="00D71D30"/>
    <w:rsid w:val="00F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2151"/>
  <w15:chartTrackingRefBased/>
  <w15:docId w15:val="{D137D367-80BA-49E7-A1A1-489F251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</cp:revision>
  <dcterms:created xsi:type="dcterms:W3CDTF">2024-07-01T12:55:00Z</dcterms:created>
  <dcterms:modified xsi:type="dcterms:W3CDTF">2024-07-01T13:50:00Z</dcterms:modified>
</cp:coreProperties>
</file>